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81F3" w14:textId="76CC841A" w:rsidR="00CE3D35" w:rsidRDefault="1A39E003" w:rsidP="3C6C45F1">
      <w:r>
        <w:rPr>
          <w:noProof/>
        </w:rPr>
        <w:drawing>
          <wp:inline distT="0" distB="0" distL="0" distR="0" wp14:anchorId="756B51CF" wp14:editId="571730CD">
            <wp:extent cx="2298391" cy="554784"/>
            <wp:effectExtent l="0" t="0" r="0" b="0"/>
            <wp:docPr id="1601985099" name="Image 1601985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391" cy="554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34E54" w14:textId="27C14EEE" w:rsidR="00CE3D35" w:rsidRPr="00427DA4" w:rsidRDefault="00844E49" w:rsidP="00CE3D35">
      <w:pPr>
        <w:jc w:val="center"/>
        <w:rPr>
          <w:rFonts w:ascii="DejaVu Sans" w:hAnsi="DejaVu Sans" w:cs="DejaVu Sans"/>
          <w:b/>
        </w:rPr>
      </w:pPr>
      <w:r>
        <w:rPr>
          <w:rFonts w:ascii="DejaVu Sans" w:hAnsi="DejaVu Sans" w:cs="DejaVu Sans"/>
          <w:b/>
        </w:rPr>
        <w:t>MANIFESTATION D’INTERET SPONTANEE</w:t>
      </w:r>
    </w:p>
    <w:p w14:paraId="5820D03E" w14:textId="77777777" w:rsidR="00CE3D35" w:rsidRPr="001B55B9" w:rsidRDefault="00CE3D35" w:rsidP="00CE3D35">
      <w:pPr>
        <w:ind w:right="-284"/>
        <w:jc w:val="center"/>
        <w:rPr>
          <w:rFonts w:ascii="DejaVu Sans" w:hAnsi="DejaVu Sans" w:cs="DejaVu Sans"/>
          <w:b/>
        </w:rPr>
      </w:pPr>
      <w:r w:rsidRPr="001B55B9">
        <w:rPr>
          <w:rFonts w:ascii="DejaVu Sans" w:hAnsi="DejaVu Sans" w:cs="DejaVu Sans"/>
          <w:b/>
        </w:rPr>
        <w:t>PORT DE BREST</w:t>
      </w:r>
    </w:p>
    <w:p w14:paraId="7DE1D1A8" w14:textId="77777777" w:rsidR="00CE3D35" w:rsidRPr="00DC60E1" w:rsidRDefault="00CE3D35" w:rsidP="00CE3D35">
      <w:pPr>
        <w:jc w:val="both"/>
        <w:rPr>
          <w:rFonts w:ascii="DejaVu Sans" w:hAnsi="DejaVu Sans" w:cs="DejaVu Sans"/>
        </w:rPr>
      </w:pPr>
    </w:p>
    <w:p w14:paraId="5B3512E4" w14:textId="0EF1399E" w:rsidR="00CE3D35" w:rsidRPr="00DC60E1" w:rsidRDefault="00CE3D35" w:rsidP="00CE3D35">
      <w:pPr>
        <w:jc w:val="both"/>
        <w:rPr>
          <w:rFonts w:ascii="DejaVu Sans" w:hAnsi="DejaVu Sans" w:cs="DejaVu Sans"/>
        </w:rPr>
      </w:pPr>
      <w:r w:rsidRPr="3C6C45F1">
        <w:rPr>
          <w:rFonts w:ascii="DejaVu Sans" w:hAnsi="DejaVu Sans" w:cs="DejaVu Sans"/>
        </w:rPr>
        <w:t>La société</w:t>
      </w:r>
      <w:r w:rsidR="00BC2772" w:rsidRPr="3C6C45F1">
        <w:rPr>
          <w:rFonts w:ascii="DejaVu Sans" w:hAnsi="DejaVu Sans" w:cs="DejaVu Sans"/>
        </w:rPr>
        <w:t xml:space="preserve"> </w:t>
      </w:r>
      <w:r w:rsidR="008B32BE">
        <w:rPr>
          <w:rFonts w:ascii="DejaVu Sans" w:hAnsi="DejaVu Sans" w:cs="DejaVu Sans"/>
        </w:rPr>
        <w:t>AMB</w:t>
      </w:r>
      <w:r w:rsidRPr="3C6C45F1">
        <w:rPr>
          <w:rFonts w:ascii="DejaVu Sans" w:hAnsi="DejaVu Sans" w:cs="DejaVu Sans"/>
        </w:rPr>
        <w:t xml:space="preserve">, occupe, en vertu d'une convention signée </w:t>
      </w:r>
      <w:r w:rsidR="0085780E">
        <w:rPr>
          <w:rFonts w:ascii="DejaVu Sans" w:hAnsi="DejaVu Sans" w:cs="DejaVu Sans"/>
        </w:rPr>
        <w:t>en 20</w:t>
      </w:r>
      <w:r w:rsidR="00FD4CF8">
        <w:rPr>
          <w:rFonts w:ascii="DejaVu Sans" w:hAnsi="DejaVu Sans" w:cs="DejaVu Sans"/>
        </w:rPr>
        <w:t>07</w:t>
      </w:r>
      <w:r w:rsidRPr="3C6C45F1">
        <w:rPr>
          <w:rFonts w:ascii="DejaVu Sans" w:hAnsi="DejaVu Sans" w:cs="DejaVu Sans"/>
        </w:rPr>
        <w:t>, le bien référencé</w:t>
      </w:r>
      <w:r w:rsidR="00BC2772" w:rsidRPr="3C6C45F1">
        <w:rPr>
          <w:rFonts w:ascii="DejaVu Sans" w:hAnsi="DejaVu Sans" w:cs="DejaVu Sans"/>
        </w:rPr>
        <w:t xml:space="preserve"> </w:t>
      </w:r>
      <w:r w:rsidR="00514B35" w:rsidRPr="00514B35">
        <w:rPr>
          <w:rFonts w:ascii="DejaVu Sans" w:hAnsi="DejaVu Sans" w:cs="DejaVu Sans"/>
        </w:rPr>
        <w:t>PBR-PMM-001-ATELIER AMB</w:t>
      </w:r>
      <w:r w:rsidRPr="3C6C45F1">
        <w:rPr>
          <w:rFonts w:ascii="DejaVu Sans" w:hAnsi="DejaVu Sans" w:cs="DejaVu Sans"/>
        </w:rPr>
        <w:t>,</w:t>
      </w:r>
      <w:r w:rsidR="005A6CAE">
        <w:rPr>
          <w:rFonts w:ascii="DejaVu Sans" w:hAnsi="DejaVu Sans" w:cs="DejaVu Sans"/>
        </w:rPr>
        <w:t xml:space="preserve"> </w:t>
      </w:r>
      <w:r w:rsidRPr="3C6C45F1">
        <w:rPr>
          <w:rFonts w:ascii="DejaVu Sans" w:hAnsi="DejaVu Sans" w:cs="DejaVu Sans"/>
        </w:rPr>
        <w:t xml:space="preserve">d’une superficie de </w:t>
      </w:r>
      <w:r w:rsidR="00FD4CF8">
        <w:rPr>
          <w:rFonts w:ascii="DejaVu Sans" w:hAnsi="DejaVu Sans" w:cs="DejaVu Sans"/>
        </w:rPr>
        <w:t>3854</w:t>
      </w:r>
      <w:r w:rsidR="00844E49" w:rsidRPr="3C6C45F1">
        <w:rPr>
          <w:rFonts w:ascii="DejaVu Sans" w:hAnsi="DejaVu Sans" w:cs="DejaVu Sans"/>
        </w:rPr>
        <w:t xml:space="preserve"> </w:t>
      </w:r>
      <w:r w:rsidRPr="3C6C45F1">
        <w:rPr>
          <w:rFonts w:ascii="DejaVu Sans" w:hAnsi="DejaVu Sans" w:cs="DejaVu Sans"/>
        </w:rPr>
        <w:t>m²</w:t>
      </w:r>
      <w:r w:rsidR="005A6CAE">
        <w:rPr>
          <w:rFonts w:ascii="DejaVu Sans" w:hAnsi="DejaVu Sans" w:cs="DejaVu Sans"/>
        </w:rPr>
        <w:t xml:space="preserve"> répartis sur deux niveaux</w:t>
      </w:r>
      <w:r w:rsidRPr="3C6C45F1">
        <w:rPr>
          <w:rFonts w:ascii="DejaVu Sans" w:hAnsi="DejaVu Sans" w:cs="DejaVu Sans"/>
        </w:rPr>
        <w:t xml:space="preserve">, </w:t>
      </w:r>
      <w:r w:rsidR="005A6CAE">
        <w:rPr>
          <w:rFonts w:ascii="DejaVu Sans" w:hAnsi="DejaVu Sans" w:cs="DejaVu Sans"/>
        </w:rPr>
        <w:t xml:space="preserve">situés </w:t>
      </w:r>
      <w:r w:rsidR="0047408D">
        <w:rPr>
          <w:rFonts w:ascii="DejaVu Sans" w:hAnsi="DejaVu Sans" w:cs="DejaVu Sans"/>
        </w:rPr>
        <w:t>à l’entrée commerce</w:t>
      </w:r>
      <w:r w:rsidRPr="3C6C45F1">
        <w:rPr>
          <w:rFonts w:ascii="DejaVu Sans" w:hAnsi="DejaVu Sans" w:cs="DejaVu Sans"/>
        </w:rPr>
        <w:t>, dépendant du domaine public portuaire.</w:t>
      </w:r>
    </w:p>
    <w:p w14:paraId="1E228E38" w14:textId="67A58A32" w:rsidR="00CE3D35" w:rsidRDefault="00CE3D35" w:rsidP="00CE3D35">
      <w:pPr>
        <w:jc w:val="both"/>
        <w:rPr>
          <w:rFonts w:ascii="DejaVu Sans" w:hAnsi="DejaVu Sans" w:cs="DejaVu Sans"/>
        </w:rPr>
      </w:pPr>
      <w:r w:rsidRPr="3C6C45F1">
        <w:rPr>
          <w:rFonts w:ascii="DejaVu Sans" w:hAnsi="DejaVu Sans" w:cs="DejaVu Sans"/>
        </w:rPr>
        <w:t xml:space="preserve">Cette convention étant </w:t>
      </w:r>
      <w:r w:rsidR="6560F74F" w:rsidRPr="3C6C45F1">
        <w:rPr>
          <w:rFonts w:ascii="DejaVu Sans" w:hAnsi="DejaVu Sans" w:cs="DejaVu Sans"/>
        </w:rPr>
        <w:t>échue</w:t>
      </w:r>
      <w:r w:rsidRPr="3C6C45F1">
        <w:rPr>
          <w:rFonts w:ascii="DejaVu Sans" w:hAnsi="DejaVu Sans" w:cs="DejaVu Sans"/>
        </w:rPr>
        <w:t xml:space="preserve">, la société </w:t>
      </w:r>
      <w:r w:rsidR="0047408D">
        <w:rPr>
          <w:rFonts w:ascii="DejaVu Sans" w:hAnsi="DejaVu Sans" w:cs="DejaVu Sans"/>
        </w:rPr>
        <w:t>AMB</w:t>
      </w:r>
      <w:r w:rsidR="00BC2772" w:rsidRPr="3C6C45F1">
        <w:rPr>
          <w:rFonts w:ascii="DejaVu Sans" w:hAnsi="DejaVu Sans" w:cs="DejaVu Sans"/>
        </w:rPr>
        <w:t xml:space="preserve"> </w:t>
      </w:r>
      <w:r w:rsidRPr="3C6C45F1">
        <w:rPr>
          <w:rFonts w:ascii="DejaVu Sans" w:hAnsi="DejaVu Sans" w:cs="DejaVu Sans"/>
        </w:rPr>
        <w:t>a manifesté son intérêt pour poursuivre son activité et de bénéficier d’une nouvelle convention d’autorisation d’occupation temporaire du domaine public maritime.</w:t>
      </w:r>
    </w:p>
    <w:p w14:paraId="37FABBE4" w14:textId="4B4D3192" w:rsidR="00CE3D35" w:rsidRDefault="0BADE98B" w:rsidP="00CE3D35">
      <w:pPr>
        <w:spacing w:after="0"/>
        <w:jc w:val="both"/>
        <w:rPr>
          <w:rFonts w:ascii="DejaVu Sans" w:hAnsi="DejaVu Sans" w:cs="DejaVu Sans"/>
        </w:rPr>
      </w:pPr>
      <w:r w:rsidRPr="3C6C45F1">
        <w:rPr>
          <w:rFonts w:ascii="DejaVu Sans" w:hAnsi="DejaVu Sans" w:cs="DejaVu Sans"/>
        </w:rPr>
        <w:t>Brest Port</w:t>
      </w:r>
      <w:r w:rsidR="00CE3D35" w:rsidRPr="3C6C45F1">
        <w:rPr>
          <w:rFonts w:ascii="DejaVu Sans" w:hAnsi="DejaVu Sans" w:cs="DejaVu Sans"/>
        </w:rPr>
        <w:t xml:space="preserve"> envisage de délivrer à la société </w:t>
      </w:r>
      <w:r w:rsidR="0047408D">
        <w:rPr>
          <w:rFonts w:ascii="DejaVu Sans" w:hAnsi="DejaVu Sans" w:cs="DejaVu Sans"/>
        </w:rPr>
        <w:t>AOT</w:t>
      </w:r>
      <w:r w:rsidR="00CE3D35" w:rsidRPr="3C6C45F1">
        <w:rPr>
          <w:rFonts w:ascii="DejaVu Sans" w:hAnsi="DejaVu Sans" w:cs="DejaVu Sans"/>
        </w:rPr>
        <w:t xml:space="preserve">, pour les besoins de son activité, une autorisation d’occupation temporaire, </w:t>
      </w:r>
      <w:r w:rsidR="0047408D">
        <w:rPr>
          <w:rFonts w:ascii="DejaVu Sans" w:hAnsi="DejaVu Sans" w:cs="DejaVu Sans"/>
        </w:rPr>
        <w:t xml:space="preserve">non </w:t>
      </w:r>
      <w:r w:rsidR="00CE3D35" w:rsidRPr="3C6C45F1">
        <w:rPr>
          <w:rFonts w:ascii="DejaVu Sans" w:hAnsi="DejaVu Sans" w:cs="DejaVu Sans"/>
        </w:rPr>
        <w:t xml:space="preserve">constitutive de droits réels, pour : </w:t>
      </w:r>
    </w:p>
    <w:p w14:paraId="2906EF06" w14:textId="3943980C" w:rsidR="00CE3D35" w:rsidRPr="00DC60E1" w:rsidRDefault="00CE3D35" w:rsidP="00CE3D35">
      <w:pPr>
        <w:spacing w:after="0"/>
        <w:jc w:val="both"/>
        <w:rPr>
          <w:rFonts w:ascii="DejaVu Sans" w:hAnsi="DejaVu Sans" w:cs="DejaVu Sans"/>
        </w:rPr>
      </w:pPr>
    </w:p>
    <w:p w14:paraId="0A0C80D1" w14:textId="054E2E62" w:rsidR="00CE3D35" w:rsidRDefault="00CE3D35" w:rsidP="00CE3D35">
      <w:pPr>
        <w:spacing w:after="0"/>
        <w:ind w:left="284" w:hanging="284"/>
        <w:jc w:val="both"/>
        <w:rPr>
          <w:rFonts w:ascii="DejaVu Sans" w:hAnsi="DejaVu Sans" w:cs="DejaVu Sans"/>
        </w:rPr>
      </w:pPr>
      <w:r w:rsidRPr="3C6C45F1">
        <w:rPr>
          <w:rFonts w:ascii="DejaVu Sans" w:hAnsi="DejaVu Sans" w:cs="DejaVu Sans"/>
        </w:rPr>
        <w:t>-</w:t>
      </w:r>
      <w:r>
        <w:tab/>
      </w:r>
      <w:r w:rsidRPr="3C6C45F1">
        <w:rPr>
          <w:rFonts w:ascii="DejaVu Sans" w:hAnsi="DejaVu Sans" w:cs="DejaVu Sans"/>
        </w:rPr>
        <w:t>le bien référencé</w:t>
      </w:r>
      <w:r w:rsidR="00490FD5" w:rsidRPr="3C6C45F1">
        <w:rPr>
          <w:rFonts w:ascii="DejaVu Sans" w:hAnsi="DejaVu Sans" w:cs="DejaVu Sans"/>
        </w:rPr>
        <w:t xml:space="preserve"> </w:t>
      </w:r>
      <w:r w:rsidR="0047408D" w:rsidRPr="0047408D">
        <w:rPr>
          <w:rFonts w:ascii="DejaVu Sans" w:hAnsi="DejaVu Sans" w:cs="DejaVu Sans"/>
        </w:rPr>
        <w:t>PBR-PMM 005-AMB</w:t>
      </w:r>
      <w:r w:rsidR="00490FD5" w:rsidRPr="3C6C45F1">
        <w:rPr>
          <w:rFonts w:ascii="DejaVu Sans" w:hAnsi="DejaVu Sans" w:cs="DejaVu Sans"/>
        </w:rPr>
        <w:t xml:space="preserve">, d’une superficie de </w:t>
      </w:r>
      <w:r w:rsidR="00EE7468">
        <w:rPr>
          <w:rFonts w:ascii="DejaVu Sans" w:hAnsi="DejaVu Sans" w:cs="DejaVu Sans"/>
        </w:rPr>
        <w:t>3854</w:t>
      </w:r>
      <w:r w:rsidR="00490FD5" w:rsidRPr="3C6C45F1">
        <w:rPr>
          <w:rFonts w:ascii="DejaVu Sans" w:hAnsi="DejaVu Sans" w:cs="DejaVu Sans"/>
        </w:rPr>
        <w:t xml:space="preserve"> m²</w:t>
      </w:r>
    </w:p>
    <w:p w14:paraId="1CB677EB" w14:textId="1E95136B" w:rsidR="00CE3D35" w:rsidRPr="00DC60E1" w:rsidRDefault="00CE3D35" w:rsidP="00CE3D35">
      <w:pPr>
        <w:spacing w:after="0"/>
        <w:ind w:left="284" w:hanging="284"/>
        <w:jc w:val="both"/>
        <w:rPr>
          <w:rFonts w:ascii="DejaVu Sans" w:hAnsi="DejaVu Sans" w:cs="DejaVu Sans"/>
        </w:rPr>
      </w:pPr>
      <w:r w:rsidRPr="3C6C45F1">
        <w:rPr>
          <w:rFonts w:ascii="DejaVu Sans" w:hAnsi="DejaVu Sans" w:cs="DejaVu Sans"/>
        </w:rPr>
        <w:t>-</w:t>
      </w:r>
      <w:r>
        <w:tab/>
      </w:r>
      <w:r w:rsidRPr="3C6C45F1">
        <w:rPr>
          <w:rFonts w:ascii="DejaVu Sans" w:hAnsi="DejaVu Sans" w:cs="DejaVu Sans"/>
        </w:rPr>
        <w:t xml:space="preserve">Durée de </w:t>
      </w:r>
      <w:r w:rsidR="00CC54CB">
        <w:rPr>
          <w:rFonts w:ascii="DejaVu Sans" w:hAnsi="DejaVu Sans" w:cs="DejaVu Sans"/>
        </w:rPr>
        <w:t>3</w:t>
      </w:r>
      <w:r w:rsidRPr="3C6C45F1">
        <w:rPr>
          <w:rFonts w:ascii="DejaVu Sans" w:hAnsi="DejaVu Sans" w:cs="DejaVu Sans"/>
        </w:rPr>
        <w:t xml:space="preserve"> ans.</w:t>
      </w:r>
    </w:p>
    <w:p w14:paraId="1F23295F" w14:textId="1E79D7FF" w:rsidR="00CE3D35" w:rsidRPr="00DC60E1" w:rsidRDefault="00CE3D35" w:rsidP="00CE3D35">
      <w:pPr>
        <w:spacing w:after="0"/>
        <w:jc w:val="both"/>
        <w:rPr>
          <w:rFonts w:ascii="DejaVu Sans" w:hAnsi="DejaVu Sans" w:cs="DejaVu Sans"/>
        </w:rPr>
      </w:pPr>
    </w:p>
    <w:p w14:paraId="22F6E16D" w14:textId="57A6B881" w:rsidR="00CE3D35" w:rsidRDefault="00CE3D35" w:rsidP="00CE3D35">
      <w:pPr>
        <w:spacing w:after="0"/>
        <w:jc w:val="both"/>
        <w:rPr>
          <w:rFonts w:ascii="DejaVu Sans" w:hAnsi="DejaVu Sans" w:cs="DejaVu Sans"/>
        </w:rPr>
      </w:pPr>
      <w:r w:rsidRPr="3C6C45F1">
        <w:rPr>
          <w:rFonts w:ascii="DejaVu Sans" w:hAnsi="DejaVu Sans" w:cs="DejaVu Sans"/>
        </w:rPr>
        <w:t xml:space="preserve">En application de l’article L. 2122-1-4 du Code général de la propriété des personnes publiques, </w:t>
      </w:r>
      <w:r w:rsidR="77CB0ADC" w:rsidRPr="3C6C45F1">
        <w:rPr>
          <w:rFonts w:ascii="DejaVu Sans" w:hAnsi="DejaVu Sans" w:cs="DejaVu Sans"/>
        </w:rPr>
        <w:t>Brest Port</w:t>
      </w:r>
      <w:r w:rsidRPr="3C6C45F1">
        <w:rPr>
          <w:rFonts w:ascii="DejaVu Sans" w:hAnsi="DejaVu Sans" w:cs="DejaVu Sans"/>
        </w:rPr>
        <w:t xml:space="preserve"> prend acte de la manifestation d'intérêt spontanée de la société </w:t>
      </w:r>
      <w:r w:rsidR="00CC54CB">
        <w:rPr>
          <w:rFonts w:ascii="DejaVu Sans" w:hAnsi="DejaVu Sans" w:cs="DejaVu Sans"/>
        </w:rPr>
        <w:t>AMB</w:t>
      </w:r>
      <w:r w:rsidR="00490FD5" w:rsidRPr="3C6C45F1">
        <w:rPr>
          <w:rFonts w:ascii="DejaVu Sans" w:hAnsi="DejaVu Sans" w:cs="DejaVu Sans"/>
        </w:rPr>
        <w:t xml:space="preserve"> </w:t>
      </w:r>
      <w:r w:rsidRPr="3C6C45F1">
        <w:rPr>
          <w:rFonts w:ascii="DejaVu Sans" w:hAnsi="DejaVu Sans" w:cs="DejaVu Sans"/>
        </w:rPr>
        <w:t xml:space="preserve">et s’assure, par la présente publicité, et avant signature des titres, de l'absence de toute autre manifestation d'intérêt concurrente, sous un délai d’un mois suivant la publication de la présente.  </w:t>
      </w:r>
    </w:p>
    <w:p w14:paraId="29DA6DDA" w14:textId="0F5084EA" w:rsidR="00CE3D35" w:rsidRDefault="00CE3D35" w:rsidP="00CE3D35">
      <w:pPr>
        <w:spacing w:after="0"/>
        <w:jc w:val="both"/>
        <w:rPr>
          <w:rFonts w:ascii="DejaVu Sans" w:hAnsi="DejaVu Sans" w:cs="DejaVu Sans"/>
        </w:rPr>
      </w:pPr>
    </w:p>
    <w:p w14:paraId="04837DEF" w14:textId="23CD2275" w:rsidR="0065328B" w:rsidRDefault="0065328B" w:rsidP="0065328B">
      <w:pPr>
        <w:rPr>
          <w:rFonts w:ascii="DejaVu Sans" w:hAnsi="DejaVu Sans" w:cs="DejaVu Sans"/>
          <w:b/>
        </w:rPr>
      </w:pPr>
      <w:r w:rsidRPr="001B55B9">
        <w:rPr>
          <w:rFonts w:ascii="DejaVu Sans" w:hAnsi="DejaVu Sans" w:cs="DejaVu Sans"/>
          <w:b/>
        </w:rPr>
        <w:t xml:space="preserve">Plan descriptif des emprises </w:t>
      </w:r>
    </w:p>
    <w:p w14:paraId="227A51BA" w14:textId="13CF6BAA" w:rsidR="0065328B" w:rsidRDefault="0065328B" w:rsidP="0065328B"/>
    <w:p w14:paraId="13040C9C" w14:textId="5465BABE" w:rsidR="0065328B" w:rsidRDefault="006431F8" w:rsidP="00CE3D35">
      <w:pPr>
        <w:spacing w:after="0"/>
        <w:jc w:val="both"/>
        <w:rPr>
          <w:rFonts w:ascii="DejaVu Sans" w:hAnsi="DejaVu Sans" w:cs="DejaVu Sans"/>
        </w:rPr>
      </w:pPr>
      <w:r w:rsidRPr="006431F8">
        <w:rPr>
          <w:rFonts w:ascii="DejaVu Sans" w:hAnsi="DejaVu Sans" w:cs="DejaVu Sans"/>
        </w:rPr>
        <w:lastRenderedPageBreak/>
        <w:drawing>
          <wp:inline distT="0" distB="0" distL="0" distR="0" wp14:anchorId="5DB9F3FF" wp14:editId="4032F54F">
            <wp:extent cx="5372850" cy="6487430"/>
            <wp:effectExtent l="0" t="0" r="0" b="8890"/>
            <wp:docPr id="2112547564" name="Image 1" descr="Une image contenant texte, diagramme, Plan, Parallè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547564" name="Image 1" descr="Une image contenant texte, diagramme, Plan, Parallèle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72850" cy="648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4B1C4" w14:textId="7DA62477" w:rsidR="00CE3D35" w:rsidRDefault="00CE3D35">
      <w:pPr>
        <w:rPr>
          <w:rFonts w:ascii="DejaVu Sans" w:hAnsi="DejaVu Sans" w:cs="DejaVu Sans"/>
        </w:rPr>
      </w:pPr>
    </w:p>
    <w:p w14:paraId="69D1DB58" w14:textId="32D8B163" w:rsidR="00BC2772" w:rsidRDefault="00BC2772">
      <w:pPr>
        <w:rPr>
          <w:rFonts w:ascii="DejaVu Sans" w:hAnsi="DejaVu Sans" w:cs="DejaVu Sans"/>
        </w:rPr>
      </w:pPr>
    </w:p>
    <w:p w14:paraId="3E19E474" w14:textId="77777777" w:rsidR="00BC2772" w:rsidRDefault="00BC2772">
      <w:pPr>
        <w:rPr>
          <w:rFonts w:ascii="DejaVu Sans" w:hAnsi="DejaVu Sans" w:cs="DejaVu Sans"/>
        </w:rPr>
      </w:pPr>
    </w:p>
    <w:p w14:paraId="28AD4ABA" w14:textId="74CBC835" w:rsidR="00CE3D35" w:rsidRPr="0065328B" w:rsidRDefault="0065328B" w:rsidP="00CE3D35">
      <w:pPr>
        <w:spacing w:after="0"/>
        <w:jc w:val="both"/>
        <w:rPr>
          <w:rFonts w:ascii="DejaVu Sans" w:hAnsi="DejaVu Sans" w:cs="DejaVu Sans"/>
          <w:b/>
        </w:rPr>
      </w:pPr>
      <w:r w:rsidRPr="0065328B">
        <w:rPr>
          <w:rFonts w:ascii="DejaVu Sans" w:hAnsi="DejaVu Sans" w:cs="DejaVu Sans"/>
          <w:b/>
        </w:rPr>
        <w:t>Critères retenus pour la sélection</w:t>
      </w:r>
    </w:p>
    <w:p w14:paraId="4454E349" w14:textId="31E039C5" w:rsidR="00CE3D35" w:rsidRDefault="00CE3D35" w:rsidP="00CE3D35">
      <w:pPr>
        <w:spacing w:after="0"/>
        <w:jc w:val="both"/>
        <w:rPr>
          <w:rFonts w:ascii="DejaVu Sans" w:hAnsi="DejaVu Sans" w:cs="DejaVu Sans"/>
        </w:rPr>
      </w:pPr>
    </w:p>
    <w:p w14:paraId="3E6893E0" w14:textId="77777777" w:rsidR="00DE3F93" w:rsidRPr="00DE3F93" w:rsidRDefault="00DE3F93" w:rsidP="00DE3F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</w:pPr>
      <w:r w:rsidRPr="00DE3F93"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  <w:t>Activité économique portuaire et maritime (création de services nouveaux, consolidation de services existants, impact sur activités préexistantes…) : </w:t>
      </w:r>
      <w:r w:rsidRPr="00DE3F93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fr-FR"/>
        </w:rPr>
        <w:t>60 %</w:t>
      </w:r>
    </w:p>
    <w:p w14:paraId="4CFDBC09" w14:textId="77777777" w:rsidR="00DE3F93" w:rsidRPr="00DE3F93" w:rsidRDefault="00DE3F93" w:rsidP="00DE3F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</w:pPr>
      <w:r w:rsidRPr="00DE3F93"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  <w:lastRenderedPageBreak/>
        <w:t>Performance économique de la proposition : Solidité économique du projet : Chiffres d’affaires prévisionnel de l’activité envisagée et nombre d’emplois induit (maintien, création) : </w:t>
      </w:r>
      <w:r w:rsidRPr="00DE3F93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fr-FR"/>
        </w:rPr>
        <w:t>20 %</w:t>
      </w:r>
    </w:p>
    <w:p w14:paraId="7432EA1C" w14:textId="3026596A" w:rsidR="00CE3D35" w:rsidRPr="00DE3F93" w:rsidRDefault="00DE3F93" w:rsidP="00DE3F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</w:pPr>
      <w:r w:rsidRPr="00DE3F93"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  <w:t>Performance énergétique et environnementale de la proposition : approche globale de maitrise des émissions de GES liée à l’activité (réduction des émissions en exploitation, intégration du service dans la chaine multimodale) : </w:t>
      </w:r>
      <w:r w:rsidRPr="00DE3F93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fr-FR"/>
        </w:rPr>
        <w:t>20 %</w:t>
      </w:r>
    </w:p>
    <w:p w14:paraId="688D38D6" w14:textId="79263D2C" w:rsidR="0065328B" w:rsidRDefault="0065328B" w:rsidP="0065328B">
      <w:pPr>
        <w:spacing w:after="0"/>
        <w:jc w:val="both"/>
        <w:rPr>
          <w:rFonts w:ascii="DejaVu Sans" w:hAnsi="DejaVu Sans" w:cs="DejaVu Sans"/>
        </w:rPr>
      </w:pPr>
      <w:r w:rsidRPr="0065328B">
        <w:rPr>
          <w:rFonts w:ascii="DejaVu Sans" w:hAnsi="DejaVu Sans" w:cs="DejaVu Sans"/>
          <w:b/>
        </w:rPr>
        <w:t xml:space="preserve">Renseignements </w:t>
      </w:r>
    </w:p>
    <w:p w14:paraId="4B05BC17" w14:textId="77777777" w:rsidR="0065328B" w:rsidRDefault="0065328B" w:rsidP="0065328B">
      <w:pPr>
        <w:spacing w:after="0"/>
        <w:jc w:val="both"/>
        <w:rPr>
          <w:rFonts w:ascii="DejaVu Sans" w:hAnsi="DejaVu Sans" w:cs="DejaVu Sans"/>
        </w:rPr>
      </w:pPr>
    </w:p>
    <w:p w14:paraId="2BB13DA9" w14:textId="1C80310E" w:rsidR="0065328B" w:rsidRDefault="00261DF6" w:rsidP="0065328B">
      <w:pPr>
        <w:spacing w:after="0"/>
        <w:jc w:val="both"/>
        <w:rPr>
          <w:rFonts w:ascii="DejaVu Sans" w:hAnsi="DejaVu Sans" w:cs="DejaVu Sans"/>
        </w:rPr>
      </w:pPr>
      <w:hyperlink r:id="rId10" w:history="1">
        <w:r w:rsidRPr="00C02A68">
          <w:rPr>
            <w:rStyle w:val="Lienhypertexte"/>
            <w:rFonts w:ascii="DejaVu Sans" w:hAnsi="DejaVu Sans" w:cs="DejaVu Sans"/>
          </w:rPr>
          <w:t>bertrand.lamouroux@brest.port.bzh</w:t>
        </w:r>
      </w:hyperlink>
    </w:p>
    <w:p w14:paraId="29EF66EB" w14:textId="59EF719F" w:rsidR="0065328B" w:rsidRPr="001B55B9" w:rsidRDefault="0065328B" w:rsidP="0065328B">
      <w:pPr>
        <w:spacing w:after="0"/>
        <w:jc w:val="both"/>
        <w:rPr>
          <w:rFonts w:ascii="DejaVu Sans" w:hAnsi="DejaVu Sans" w:cs="DejaVu Sans"/>
        </w:rPr>
      </w:pPr>
      <w:r w:rsidRPr="00DC60E1">
        <w:rPr>
          <w:rFonts w:ascii="DejaVu Sans" w:hAnsi="DejaVu Sans" w:cs="DejaVu Sans"/>
        </w:rPr>
        <w:t xml:space="preserve">Tél. 02 98 </w:t>
      </w:r>
      <w:r>
        <w:rPr>
          <w:rFonts w:ascii="DejaVu Sans" w:hAnsi="DejaVu Sans" w:cs="DejaVu Sans"/>
        </w:rPr>
        <w:t xml:space="preserve">14 77 </w:t>
      </w:r>
      <w:r w:rsidR="00261DF6">
        <w:rPr>
          <w:rFonts w:ascii="DejaVu Sans" w:hAnsi="DejaVu Sans" w:cs="DejaVu Sans"/>
        </w:rPr>
        <w:t>54</w:t>
      </w:r>
    </w:p>
    <w:p w14:paraId="5206359B" w14:textId="00061F06" w:rsidR="00CE3D35" w:rsidRPr="00CE3D35" w:rsidRDefault="00CE3D35" w:rsidP="00CE3D35"/>
    <w:sectPr w:rsidR="00CE3D35" w:rsidRPr="00CE3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A2B37"/>
    <w:multiLevelType w:val="multilevel"/>
    <w:tmpl w:val="353A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5470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35"/>
    <w:rsid w:val="00261DF6"/>
    <w:rsid w:val="0047408D"/>
    <w:rsid w:val="00490FD5"/>
    <w:rsid w:val="00514B35"/>
    <w:rsid w:val="005A6CAE"/>
    <w:rsid w:val="006431F8"/>
    <w:rsid w:val="0065328B"/>
    <w:rsid w:val="006F190D"/>
    <w:rsid w:val="007D0A4F"/>
    <w:rsid w:val="007D3C93"/>
    <w:rsid w:val="00844E49"/>
    <w:rsid w:val="0085780E"/>
    <w:rsid w:val="008B32BE"/>
    <w:rsid w:val="009D059F"/>
    <w:rsid w:val="00BC2772"/>
    <w:rsid w:val="00CC54CB"/>
    <w:rsid w:val="00CE3D35"/>
    <w:rsid w:val="00DE3F93"/>
    <w:rsid w:val="00EE7468"/>
    <w:rsid w:val="00F314DB"/>
    <w:rsid w:val="00FD4CF8"/>
    <w:rsid w:val="013E5381"/>
    <w:rsid w:val="06D70559"/>
    <w:rsid w:val="0BADE98B"/>
    <w:rsid w:val="144E02F6"/>
    <w:rsid w:val="172CF531"/>
    <w:rsid w:val="1A39E003"/>
    <w:rsid w:val="1B564E92"/>
    <w:rsid w:val="1BDAF9E6"/>
    <w:rsid w:val="2A9F1AE4"/>
    <w:rsid w:val="30D922B2"/>
    <w:rsid w:val="33A73483"/>
    <w:rsid w:val="33F2C514"/>
    <w:rsid w:val="3B3E6EEA"/>
    <w:rsid w:val="3C6C45F1"/>
    <w:rsid w:val="49316A35"/>
    <w:rsid w:val="5D144830"/>
    <w:rsid w:val="6560F74F"/>
    <w:rsid w:val="6AA83B9C"/>
    <w:rsid w:val="71A42C72"/>
    <w:rsid w:val="740CCDD7"/>
    <w:rsid w:val="77CB0ADC"/>
    <w:rsid w:val="77F3FA8A"/>
    <w:rsid w:val="7C9433BD"/>
    <w:rsid w:val="7F43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754E"/>
  <w15:chartTrackingRefBased/>
  <w15:docId w15:val="{6772B71A-F2A2-4BB7-A39A-D7599723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D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E3D35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DE3F93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261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7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bertrand.lamouroux@brest.port.bzh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872E2ACA448BC5B8C9A1897B8E9" ma:contentTypeVersion="7" ma:contentTypeDescription="Crée un document." ma:contentTypeScope="" ma:versionID="1466ce230af7469f879845ec9adcf321">
  <xsd:schema xmlns:xsd="http://www.w3.org/2001/XMLSchema" xmlns:xs="http://www.w3.org/2001/XMLSchema" xmlns:p="http://schemas.microsoft.com/office/2006/metadata/properties" xmlns:ns2="fc922caf-5df5-439d-8ac9-0b2ca5aaf639" targetNamespace="http://schemas.microsoft.com/office/2006/metadata/properties" ma:root="true" ma:fieldsID="fecb855df2140469e9330abe85200f89" ns2:_="">
    <xsd:import namespace="fc922caf-5df5-439d-8ac9-0b2ca5aaf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22caf-5df5-439d-8ac9-0b2ca5aaf6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D18A8D-3A71-4655-9357-4E94C8DC19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0736AA-ACB6-4F1A-AEBB-C53999A70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22caf-5df5-439d-8ac9-0b2ca5aaf6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3514E6-A79C-4892-B895-DAB8894D6A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291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Azilys LEFAY</dc:creator>
  <cp:keywords/>
  <dc:description/>
  <cp:lastModifiedBy>Bertrand LAMOUROUX</cp:lastModifiedBy>
  <cp:revision>16</cp:revision>
  <dcterms:created xsi:type="dcterms:W3CDTF">2024-07-22T06:57:00Z</dcterms:created>
  <dcterms:modified xsi:type="dcterms:W3CDTF">2026-03-04T16:45:00Z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0x010100D0BA5872E2ACA448BC5B8C9A1897B8E9</vt:lpwstr>
  </property>
  <property fmtid="{D5CDD505-2E9C-101B-9397-08002B2CF9AE}" pid="3" name="Order">
    <vt:r8>222000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